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FAB1" w14:textId="77777777" w:rsidR="00690229" w:rsidRPr="00690229" w:rsidRDefault="00690229" w:rsidP="00690229">
      <w:pPr>
        <w:spacing w:before="225" w:after="150" w:line="240" w:lineRule="auto"/>
        <w:outlineLvl w:val="2"/>
        <w:rPr>
          <w:rFonts w:ascii="Tahoma" w:eastAsia="Times New Roman" w:hAnsi="Tahoma" w:cs="Tahoma"/>
          <w:b/>
          <w:bCs/>
          <w:lang w:eastAsia="nl-NL"/>
        </w:rPr>
      </w:pPr>
      <w:r w:rsidRPr="00690229">
        <w:rPr>
          <w:rFonts w:ascii="Tahoma" w:eastAsia="Times New Roman" w:hAnsi="Tahoma" w:cs="Tahoma"/>
          <w:b/>
          <w:bCs/>
          <w:lang w:eastAsia="nl-NL"/>
        </w:rPr>
        <w:t>Vaststellingsovereenkomst ter beëindiging van de arbeidsovereenkomst met wederzijds goedvinden</w:t>
      </w:r>
    </w:p>
    <w:p w14:paraId="6665549B" w14:textId="77777777" w:rsidR="00690229" w:rsidRPr="00690229" w:rsidRDefault="00690229" w:rsidP="00690229">
      <w:pPr>
        <w:spacing w:before="225" w:after="150" w:line="240" w:lineRule="auto"/>
        <w:outlineLvl w:val="2"/>
        <w:rPr>
          <w:rFonts w:ascii="Tahoma" w:eastAsia="Times New Roman" w:hAnsi="Tahoma" w:cs="Tahoma"/>
          <w:b/>
          <w:bCs/>
          <w:lang w:eastAsia="nl-NL"/>
        </w:rPr>
      </w:pPr>
    </w:p>
    <w:p w14:paraId="586BA555" w14:textId="77777777" w:rsidR="00690229" w:rsidRPr="00690229" w:rsidRDefault="00690229" w:rsidP="00690229">
      <w:pPr>
        <w:spacing w:before="225" w:after="150" w:line="240" w:lineRule="auto"/>
        <w:outlineLvl w:val="2"/>
        <w:rPr>
          <w:rFonts w:ascii="Tahoma" w:eastAsia="Times New Roman" w:hAnsi="Tahoma" w:cs="Tahoma"/>
          <w:b/>
          <w:bCs/>
          <w:lang w:eastAsia="nl-NL"/>
        </w:rPr>
      </w:pPr>
      <w:r w:rsidRPr="00690229">
        <w:rPr>
          <w:rFonts w:ascii="Tahoma" w:eastAsia="Times New Roman" w:hAnsi="Tahoma" w:cs="Tahoma"/>
          <w:b/>
          <w:bCs/>
          <w:lang w:eastAsia="nl-NL"/>
        </w:rPr>
        <w:t>De ondergetekenden:</w:t>
      </w:r>
    </w:p>
    <w:p w14:paraId="34B2A4B7"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Werkgever, de besloten vennootschap met beperkte aansprakelijkheid FINITO B.V., hierna ook te noemen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gevestigd te Amsterdam aan het adres Laan van de Vrede 7 (1000 XY), rechtsgeldig vertegenwoordigd door haar directeur mevrouw A. van den Ende, en</w:t>
      </w:r>
    </w:p>
    <w:p w14:paraId="4465DD77" w14:textId="77777777" w:rsidR="00690229" w:rsidRPr="00690229" w:rsidRDefault="00690229" w:rsidP="00690229">
      <w:pPr>
        <w:spacing w:after="120" w:line="240" w:lineRule="auto"/>
        <w:rPr>
          <w:rFonts w:ascii="Tahoma" w:eastAsia="Times New Roman" w:hAnsi="Tahoma" w:cs="Tahoma"/>
          <w:lang w:eastAsia="nl-NL"/>
        </w:rPr>
      </w:pPr>
    </w:p>
    <w:p w14:paraId="12EE0808"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xml:space="preserve">Werknemer, de heer JOHANNES PETRUS DE GROOT, hierna ook te noemen ‘De Groot’, woonachtig te Amersfoort aan het adres </w:t>
      </w:r>
      <w:proofErr w:type="spellStart"/>
      <w:r w:rsidRPr="00690229">
        <w:rPr>
          <w:rFonts w:ascii="Tahoma" w:eastAsia="Times New Roman" w:hAnsi="Tahoma" w:cs="Tahoma"/>
          <w:lang w:eastAsia="nl-NL"/>
        </w:rPr>
        <w:t>Sokratesstraat</w:t>
      </w:r>
      <w:proofErr w:type="spellEnd"/>
      <w:r w:rsidRPr="00690229">
        <w:rPr>
          <w:rFonts w:ascii="Tahoma" w:eastAsia="Times New Roman" w:hAnsi="Tahoma" w:cs="Tahoma"/>
          <w:lang w:eastAsia="nl-NL"/>
        </w:rPr>
        <w:t xml:space="preserve"> 1 (3800 AA);</w:t>
      </w:r>
    </w:p>
    <w:p w14:paraId="50B6E0AA" w14:textId="77777777" w:rsidR="00690229" w:rsidRPr="00690229" w:rsidRDefault="00690229" w:rsidP="00690229">
      <w:pPr>
        <w:spacing w:after="120" w:line="240" w:lineRule="auto"/>
        <w:rPr>
          <w:rFonts w:ascii="Tahoma" w:eastAsia="Times New Roman" w:hAnsi="Tahoma" w:cs="Tahoma"/>
          <w:lang w:eastAsia="nl-NL"/>
        </w:rPr>
      </w:pPr>
    </w:p>
    <w:p w14:paraId="12D5B7B9"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Hierna gezamenlijk te noemen ‘partijen’,</w:t>
      </w:r>
      <w:r w:rsidRPr="00690229">
        <w:rPr>
          <w:rFonts w:ascii="Tahoma" w:eastAsia="Times New Roman" w:hAnsi="Tahoma" w:cs="Tahoma"/>
          <w:lang w:eastAsia="nl-NL"/>
        </w:rPr>
        <w:br/>
      </w:r>
    </w:p>
    <w:p w14:paraId="2BF5DF24"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overwegende:</w:t>
      </w:r>
    </w:p>
    <w:p w14:paraId="127E44FE"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xml:space="preserve">- Dat De Groot, geboren op 14 juli 1972, sinds 15 maart 2002 in dienst is bij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(althans diens rechtsvoorganger) op basis laatstelijk een arbeidsovereenkomst voor onbepaalde tijd in de functie van medewerker aftersales tegen een bruto maandsalaris à € 2.500,- exclusief 8% vakantiegeld, 8,33% eindejaarsuitkering en emolumenten.</w:t>
      </w:r>
    </w:p>
    <w:p w14:paraId="112980BE" w14:textId="77777777" w:rsidR="00690229" w:rsidRPr="00690229" w:rsidRDefault="00690229" w:rsidP="00690229">
      <w:pPr>
        <w:spacing w:after="120" w:line="240" w:lineRule="auto"/>
        <w:rPr>
          <w:rFonts w:ascii="Tahoma" w:eastAsia="Times New Roman" w:hAnsi="Tahoma" w:cs="Tahoma"/>
          <w:lang w:eastAsia="nl-NL"/>
        </w:rPr>
      </w:pPr>
    </w:p>
    <w:p w14:paraId="003CC2E8"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i/>
          <w:iCs/>
          <w:lang w:eastAsia="nl-NL"/>
        </w:rPr>
        <w:t>[kies één van de volgende twee bepalingen; de eerste bij bedrijfseconomische redenen, de tweede bij individuele ontslagredenen:]</w:t>
      </w:r>
    </w:p>
    <w:p w14:paraId="360DF581"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i/>
          <w:iCs/>
          <w:lang w:eastAsia="nl-NL"/>
        </w:rPr>
        <w:t xml:space="preserve">- Dat </w:t>
      </w:r>
      <w:proofErr w:type="spellStart"/>
      <w:r w:rsidRPr="00690229">
        <w:rPr>
          <w:rFonts w:ascii="Tahoma" w:eastAsia="Times New Roman" w:hAnsi="Tahoma" w:cs="Tahoma"/>
          <w:i/>
          <w:iCs/>
          <w:lang w:eastAsia="nl-NL"/>
        </w:rPr>
        <w:t>Finito</w:t>
      </w:r>
      <w:proofErr w:type="spellEnd"/>
      <w:r w:rsidRPr="00690229">
        <w:rPr>
          <w:rFonts w:ascii="Tahoma" w:eastAsia="Times New Roman" w:hAnsi="Tahoma" w:cs="Tahoma"/>
          <w:i/>
          <w:iCs/>
          <w:lang w:eastAsia="nl-NL"/>
        </w:rPr>
        <w:t xml:space="preserve"> zich ten gevolge van negatieve ontwikkelingen binnen de branche genoodzaakt ziet organisatorische wijzigingen door te voeren en dat als een direct gevolg van de </w:t>
      </w:r>
      <w:hyperlink r:id="rId4" w:tgtFrame="_blank" w:tooltip="ontslag wegens bedrijfseconomische redenen" w:history="1">
        <w:r w:rsidRPr="00690229">
          <w:rPr>
            <w:rFonts w:ascii="Tahoma" w:eastAsia="Times New Roman" w:hAnsi="Tahoma" w:cs="Tahoma"/>
            <w:i/>
            <w:iCs/>
            <w:lang w:eastAsia="nl-NL"/>
          </w:rPr>
          <w:t>bedrijfseconomische omstandigheden</w:t>
        </w:r>
      </w:hyperlink>
      <w:r w:rsidRPr="00690229">
        <w:rPr>
          <w:rFonts w:ascii="Tahoma" w:eastAsia="Times New Roman" w:hAnsi="Tahoma" w:cs="Tahoma"/>
          <w:i/>
          <w:iCs/>
          <w:lang w:eastAsia="nl-NL"/>
        </w:rPr>
        <w:t> de functie van De Groot komt te vervallen.</w:t>
      </w:r>
    </w:p>
    <w:p w14:paraId="50902AAF" w14:textId="77777777" w:rsidR="00690229" w:rsidRPr="00690229" w:rsidRDefault="00690229" w:rsidP="00690229">
      <w:pPr>
        <w:spacing w:after="120" w:line="240" w:lineRule="auto"/>
        <w:rPr>
          <w:rFonts w:ascii="Tahoma" w:eastAsia="Times New Roman" w:hAnsi="Tahoma" w:cs="Tahoma"/>
          <w:lang w:eastAsia="nl-NL"/>
        </w:rPr>
      </w:pPr>
    </w:p>
    <w:p w14:paraId="45C2551D"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i/>
          <w:iCs/>
          <w:lang w:eastAsia="nl-NL"/>
        </w:rPr>
        <w:t>- Dat zich tussen partijen een </w:t>
      </w:r>
      <w:hyperlink r:id="rId5" w:tgtFrame="_blank" w:tooltip="ontslag wegens een verschil van inzicht" w:history="1">
        <w:r w:rsidRPr="00690229">
          <w:rPr>
            <w:rFonts w:ascii="Tahoma" w:eastAsia="Times New Roman" w:hAnsi="Tahoma" w:cs="Tahoma"/>
            <w:i/>
            <w:iCs/>
            <w:lang w:eastAsia="nl-NL"/>
          </w:rPr>
          <w:t>verschil van inzicht</w:t>
        </w:r>
      </w:hyperlink>
      <w:r w:rsidRPr="00690229">
        <w:rPr>
          <w:rFonts w:ascii="Tahoma" w:eastAsia="Times New Roman" w:hAnsi="Tahoma" w:cs="Tahoma"/>
          <w:i/>
          <w:iCs/>
          <w:lang w:eastAsia="nl-NL"/>
        </w:rPr>
        <w:t> heeft ontwikkeld over de wijze waarop uitvoering aan de functie van De Groot dient te worden gegeven, ten gevolge waarvan een vruchtbare voortzetting van de arbeidsovereenkomst niet meer mogelijk is. Tijdens gesprekken waarin partijen getracht hebben dit verschil van inzicht te overbruggen is duidelijk geworden dat de verschillen te groot zijn om tot een werkbare, aanvaardbare en voor partijen bevredigende oplossing te kunnen komen;</w:t>
      </w:r>
    </w:p>
    <w:p w14:paraId="4B4815B2" w14:textId="77777777" w:rsidR="00690229" w:rsidRPr="00690229" w:rsidRDefault="00690229" w:rsidP="00690229">
      <w:pPr>
        <w:spacing w:after="120" w:line="240" w:lineRule="auto"/>
        <w:rPr>
          <w:rFonts w:ascii="Tahoma" w:eastAsia="Times New Roman" w:hAnsi="Tahoma" w:cs="Tahoma"/>
          <w:lang w:eastAsia="nl-NL"/>
        </w:rPr>
      </w:pPr>
    </w:p>
    <w:p w14:paraId="2775378A"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Dat partijen gesprekken hebben gevoerd om te bezien of een alternatieve oplossing mogelijk is, doch dat deze alternatieve oplossing niet voorhanden is en ook niet op afzienbare termijn voorhanden zal zijn, evenmin na inzet van scholing.</w:t>
      </w:r>
    </w:p>
    <w:p w14:paraId="56E075DC" w14:textId="77777777" w:rsidR="00690229" w:rsidRPr="00690229" w:rsidRDefault="00690229" w:rsidP="00690229">
      <w:pPr>
        <w:spacing w:after="120" w:line="240" w:lineRule="auto"/>
        <w:rPr>
          <w:rFonts w:ascii="Tahoma" w:eastAsia="Times New Roman" w:hAnsi="Tahoma" w:cs="Tahoma"/>
          <w:lang w:eastAsia="nl-NL"/>
        </w:rPr>
      </w:pPr>
    </w:p>
    <w:p w14:paraId="7C1652C2"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xml:space="preserve">- Dat daarom bij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de wens bestaat om de arbeidsovereenkomst te beëindigen, waar De Groot zich aanvankelijk tegen heeft verzet, doch dat hij thans inziet dat er geen andere reële mogelijkheid meer bestaat.</w:t>
      </w:r>
    </w:p>
    <w:p w14:paraId="7F71D482" w14:textId="77777777" w:rsidR="00690229" w:rsidRPr="00690229" w:rsidRDefault="00690229" w:rsidP="00690229">
      <w:pPr>
        <w:spacing w:after="120" w:line="240" w:lineRule="auto"/>
        <w:rPr>
          <w:rFonts w:ascii="Tahoma" w:eastAsia="Times New Roman" w:hAnsi="Tahoma" w:cs="Tahoma"/>
          <w:lang w:eastAsia="nl-NL"/>
        </w:rPr>
      </w:pPr>
    </w:p>
    <w:p w14:paraId="4CF27F21"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lastRenderedPageBreak/>
        <w:t>- Dat beide partijen benadrukken dat De Groot geen verwijt treft ter zake deze omstandigheden, laat staan dat sprake zou zijn van een </w:t>
      </w:r>
      <w:hyperlink r:id="rId6" w:tgtFrame="_blank" w:tooltip="ontslag wegens een dringende reden" w:history="1">
        <w:r w:rsidRPr="00690229">
          <w:rPr>
            <w:rFonts w:ascii="Tahoma" w:eastAsia="Times New Roman" w:hAnsi="Tahoma" w:cs="Tahoma"/>
            <w:lang w:eastAsia="nl-NL"/>
          </w:rPr>
          <w:t>dringende reden</w:t>
        </w:r>
      </w:hyperlink>
      <w:r w:rsidRPr="00690229">
        <w:rPr>
          <w:rFonts w:ascii="Tahoma" w:eastAsia="Times New Roman" w:hAnsi="Tahoma" w:cs="Tahoma"/>
          <w:lang w:eastAsia="nl-NL"/>
        </w:rPr>
        <w:t>.</w:t>
      </w:r>
      <w:r w:rsidRPr="00690229">
        <w:rPr>
          <w:rFonts w:ascii="Tahoma" w:eastAsia="Times New Roman" w:hAnsi="Tahoma" w:cs="Tahoma"/>
          <w:lang w:eastAsia="nl-NL"/>
        </w:rPr>
        <w:br/>
      </w:r>
    </w:p>
    <w:p w14:paraId="0E03F13A"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Dat De Groot </w:t>
      </w:r>
      <w:hyperlink r:id="rId7" w:tgtFrame="_blank" w:tooltip="vaststellingsovereenkomst tijdens ziekte" w:history="1">
        <w:r w:rsidRPr="00690229">
          <w:rPr>
            <w:rFonts w:ascii="Tahoma" w:eastAsia="Times New Roman" w:hAnsi="Tahoma" w:cs="Tahoma"/>
            <w:lang w:eastAsia="nl-NL"/>
          </w:rPr>
          <w:t>niet ziek of arbeidsongeschikt</w:t>
        </w:r>
      </w:hyperlink>
      <w:r w:rsidRPr="00690229">
        <w:rPr>
          <w:rFonts w:ascii="Tahoma" w:eastAsia="Times New Roman" w:hAnsi="Tahoma" w:cs="Tahoma"/>
          <w:lang w:eastAsia="nl-NL"/>
        </w:rPr>
        <w:t> is en geen sprake is van enig opzegverbod.</w:t>
      </w:r>
    </w:p>
    <w:p w14:paraId="484A088D" w14:textId="77777777" w:rsidR="00690229" w:rsidRPr="00690229" w:rsidRDefault="00690229" w:rsidP="00690229">
      <w:pPr>
        <w:spacing w:after="120" w:line="240" w:lineRule="auto"/>
        <w:rPr>
          <w:rFonts w:ascii="Tahoma" w:eastAsia="Times New Roman" w:hAnsi="Tahoma" w:cs="Tahoma"/>
          <w:lang w:eastAsia="nl-NL"/>
        </w:rPr>
      </w:pPr>
    </w:p>
    <w:p w14:paraId="5B36D1D4"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Dat partijen hun wederzijdse rechten en verplichtingen schriftelijk wensen vast te leggen.</w:t>
      </w:r>
    </w:p>
    <w:p w14:paraId="611C8C3A" w14:textId="77777777" w:rsidR="00690229" w:rsidRPr="00690229" w:rsidRDefault="00690229" w:rsidP="00690229">
      <w:pPr>
        <w:spacing w:after="120" w:line="240" w:lineRule="auto"/>
        <w:rPr>
          <w:rFonts w:ascii="Tahoma" w:eastAsia="Times New Roman" w:hAnsi="Tahoma" w:cs="Tahoma"/>
          <w:lang w:eastAsia="nl-NL"/>
        </w:rPr>
      </w:pPr>
    </w:p>
    <w:p w14:paraId="1F3C8196"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Dat partijen deze vaststellingsovereenkomst in de zin van artikel 7:900 Burgerlijk Wetboek e.v. ter beëindiging of ter voorkoming van onzekerheid of geschil sluiten </w:t>
      </w:r>
      <w:hyperlink r:id="rId8" w:tgtFrame="_blank" w:tooltip="juridisch advies bij een vaststellingsovereenkomst" w:history="1">
        <w:r w:rsidRPr="00690229">
          <w:rPr>
            <w:rFonts w:ascii="Tahoma" w:eastAsia="Times New Roman" w:hAnsi="Tahoma" w:cs="Tahoma"/>
            <w:lang w:eastAsia="nl-NL"/>
          </w:rPr>
          <w:t>na ter zake juridisch te zijn geadviseerd</w:t>
        </w:r>
      </w:hyperlink>
      <w:r w:rsidRPr="00690229">
        <w:rPr>
          <w:rFonts w:ascii="Tahoma" w:eastAsia="Times New Roman" w:hAnsi="Tahoma" w:cs="Tahoma"/>
          <w:lang w:eastAsia="nl-NL"/>
        </w:rPr>
        <w:t> en na zorgvuldig beraad. De Groot is in dit kader bijgestaan door De Graauw Legal.</w:t>
      </w:r>
    </w:p>
    <w:p w14:paraId="6F441C46" w14:textId="77777777" w:rsidR="00690229" w:rsidRPr="00690229" w:rsidRDefault="00690229" w:rsidP="00690229">
      <w:pPr>
        <w:spacing w:after="120" w:line="240" w:lineRule="auto"/>
        <w:rPr>
          <w:rFonts w:ascii="Tahoma" w:eastAsia="Times New Roman" w:hAnsi="Tahoma" w:cs="Tahoma"/>
          <w:lang w:eastAsia="nl-NL"/>
        </w:rPr>
      </w:pPr>
    </w:p>
    <w:p w14:paraId="22FD9FE5" w14:textId="77777777" w:rsid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zijn als volgt overeengekomen:</w:t>
      </w:r>
    </w:p>
    <w:p w14:paraId="76EBCE68"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p>
    <w:p w14:paraId="4F5A7127"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1 - beëindiging met wederzijds goedvinden</w:t>
      </w:r>
    </w:p>
    <w:p w14:paraId="5BB3CB4B"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1. Partijen </w:t>
      </w:r>
      <w:hyperlink r:id="rId9" w:tgtFrame="_blank" w:tooltip="beëindigen met wederzijds goedvinden" w:history="1">
        <w:r w:rsidRPr="00690229">
          <w:rPr>
            <w:rFonts w:ascii="Tahoma" w:eastAsia="Times New Roman" w:hAnsi="Tahoma" w:cs="Tahoma"/>
            <w:lang w:eastAsia="nl-NL"/>
          </w:rPr>
          <w:t>beëindigen de arbeidsovereenkomst met wederzijds goedvinden</w:t>
        </w:r>
      </w:hyperlink>
      <w:r w:rsidRPr="00690229">
        <w:rPr>
          <w:rFonts w:ascii="Tahoma" w:eastAsia="Times New Roman" w:hAnsi="Tahoma" w:cs="Tahoma"/>
          <w:lang w:eastAsia="nl-NL"/>
        </w:rPr>
        <w:t>, op initiatief van werkgever, per 1 juli 2020 (hierna: ‘de beëindigingsdatum’). Hierbij is rekening gehouden met de tussen partijen voor werkgever geldende </w:t>
      </w:r>
      <w:hyperlink r:id="rId10" w:tgtFrame="_blank" w:tooltip="opzegtermijn in een vaststellingsovereenkomst" w:history="1">
        <w:r w:rsidRPr="00690229">
          <w:rPr>
            <w:rFonts w:ascii="Tahoma" w:eastAsia="Times New Roman" w:hAnsi="Tahoma" w:cs="Tahoma"/>
            <w:lang w:eastAsia="nl-NL"/>
          </w:rPr>
          <w:t>(fictieve) opzegtermijn</w:t>
        </w:r>
      </w:hyperlink>
      <w:r w:rsidRPr="00690229">
        <w:rPr>
          <w:rFonts w:ascii="Tahoma" w:eastAsia="Times New Roman" w:hAnsi="Tahoma" w:cs="Tahoma"/>
          <w:lang w:eastAsia="nl-NL"/>
        </w:rPr>
        <w:t> van vier maanden.</w:t>
      </w:r>
    </w:p>
    <w:p w14:paraId="1B8AEC31" w14:textId="77777777" w:rsidR="00690229" w:rsidRPr="00690229" w:rsidRDefault="00690229" w:rsidP="00690229">
      <w:pPr>
        <w:spacing w:after="120" w:line="240" w:lineRule="auto"/>
        <w:rPr>
          <w:rFonts w:ascii="Tahoma" w:eastAsia="Times New Roman" w:hAnsi="Tahoma" w:cs="Tahoma"/>
          <w:lang w:eastAsia="nl-NL"/>
        </w:rPr>
      </w:pPr>
    </w:p>
    <w:p w14:paraId="3B93D583"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xml:space="preserve">2. Indien met ingang van eerder dan de beëindigingsdatum, maar niet eerder dan 1 april 2020, door De Groot een dienstverband elders aanvaard wordt, eindigt de arbeidsovereenkomst in afwijking van artikel 1.1 per die eerdere datum van indiensttreding bij de nieuwe werkgever (hierna ‘de nieuwe beëindigingsdatum’) met wederzijds goedvinden. De Groot informeert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wanneer deze situatie zich voordoet. De helft van het resterende loon inclusief vakantiegeld en eindejaarsuitkering over de periode gelegen tussen de nieuwe beëindigingsdatum en de beëindigingsdatum ex artikel 1.1 wordt alsdan aan de beëindigingsvergoeding toegevoegd. De loonbetalingsverplichting van werkgever eindigt dan per de nieuwe beëindigingsdatum. Waar in deze overeenkomst de beëindigingsdatum genoemd wordt, dient bij alsdan de ‘nieuwe beëindigingsdatum’ gelezen te worden. Alle overige voorwaarden van deze overeenkomst blijven in die situatie ongewijzigd van kracht. </w:t>
      </w:r>
    </w:p>
    <w:p w14:paraId="3172E7E5" w14:textId="77777777" w:rsidR="00690229" w:rsidRPr="00690229" w:rsidRDefault="00690229" w:rsidP="00690229">
      <w:pPr>
        <w:spacing w:after="120" w:line="240" w:lineRule="auto"/>
        <w:rPr>
          <w:rFonts w:ascii="Tahoma" w:eastAsia="Times New Roman" w:hAnsi="Tahoma" w:cs="Tahoma"/>
          <w:lang w:eastAsia="nl-NL"/>
        </w:rPr>
      </w:pPr>
    </w:p>
    <w:p w14:paraId="203705D9"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2 – sociale zekerheid</w:t>
      </w:r>
    </w:p>
    <w:p w14:paraId="79E81E82"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Een eventuele fictieve opzegtermijn en overige </w:t>
      </w:r>
      <w:hyperlink r:id="rId11" w:tgtFrame="_blank" w:tooltip="vaststellingsovereenkomst en sociale zekerheid" w:history="1">
        <w:r w:rsidRPr="00690229">
          <w:rPr>
            <w:rFonts w:ascii="Tahoma" w:eastAsia="Times New Roman" w:hAnsi="Tahoma" w:cs="Tahoma"/>
            <w:lang w:eastAsia="nl-NL"/>
          </w:rPr>
          <w:t>risico’s in het kader van de sociale zekerheid</w:t>
        </w:r>
      </w:hyperlink>
      <w:r w:rsidRPr="00690229">
        <w:rPr>
          <w:rFonts w:ascii="Tahoma" w:eastAsia="Times New Roman" w:hAnsi="Tahoma" w:cs="Tahoma"/>
          <w:lang w:eastAsia="nl-NL"/>
        </w:rPr>
        <w:t> komen voor rekening van De Groot.</w:t>
      </w:r>
    </w:p>
    <w:p w14:paraId="58E768C5" w14:textId="77777777" w:rsidR="00690229" w:rsidRPr="00690229" w:rsidRDefault="00690229" w:rsidP="00690229">
      <w:pPr>
        <w:spacing w:after="120" w:line="240" w:lineRule="auto"/>
        <w:rPr>
          <w:rFonts w:ascii="Tahoma" w:eastAsia="Times New Roman" w:hAnsi="Tahoma" w:cs="Tahoma"/>
          <w:lang w:eastAsia="nl-NL"/>
        </w:rPr>
      </w:pPr>
    </w:p>
    <w:p w14:paraId="40AB3E09"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3 – betaling salaris onder vrijstelling van werk</w:t>
      </w:r>
    </w:p>
    <w:p w14:paraId="0477AB67"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Tot de beëindigingsdatum ontvangt De Groot het gebruikelijke salaris en de gebruikelijke emolumenten. Tot 1 april 2020 blijft De Groot zijn werkzaamheden, zoals gebruikelijk te doen is, verrichten en draagt hij zorg voor een adequate overdracht van werkzaamheden. Vanaf 1 april 2020 tot de beëindigingsdatum wordt De Groot volledig </w:t>
      </w:r>
      <w:hyperlink r:id="rId12" w:tgtFrame="_blank" w:tooltip="vrijstelling van werk" w:history="1">
        <w:r w:rsidRPr="00690229">
          <w:rPr>
            <w:rFonts w:ascii="Tahoma" w:eastAsia="Times New Roman" w:hAnsi="Tahoma" w:cs="Tahoma"/>
            <w:lang w:eastAsia="nl-NL"/>
          </w:rPr>
          <w:t xml:space="preserve">vrijgesteld van </w:t>
        </w:r>
        <w:r w:rsidRPr="00690229">
          <w:rPr>
            <w:rFonts w:ascii="Tahoma" w:eastAsia="Times New Roman" w:hAnsi="Tahoma" w:cs="Tahoma"/>
            <w:lang w:eastAsia="nl-NL"/>
          </w:rPr>
          <w:lastRenderedPageBreak/>
          <w:t>werkzaamheden</w:t>
        </w:r>
      </w:hyperlink>
      <w:r w:rsidRPr="00690229">
        <w:rPr>
          <w:rFonts w:ascii="Tahoma" w:eastAsia="Times New Roman" w:hAnsi="Tahoma" w:cs="Tahoma"/>
          <w:lang w:eastAsia="nl-NL"/>
        </w:rPr>
        <w:t> en de verplichting op het werk te verschijnen. Tijdens de periode van vrijstelling worden geen onkosten- en reiskostenvergoedingen meer uitgekeerd. Alle overige arbeidsvoorwaarden blijven onverminderd van kracht tijdens deze duur van de arbeidsovereenkomst voor zover niet schriftelijk anders is bepaald.</w:t>
      </w:r>
    </w:p>
    <w:p w14:paraId="7DF73082" w14:textId="77777777" w:rsidR="00690229" w:rsidRPr="00690229" w:rsidRDefault="00690229" w:rsidP="00690229">
      <w:pPr>
        <w:spacing w:after="120" w:line="240" w:lineRule="auto"/>
        <w:rPr>
          <w:rFonts w:ascii="Tahoma" w:eastAsia="Times New Roman" w:hAnsi="Tahoma" w:cs="Tahoma"/>
          <w:lang w:eastAsia="nl-NL"/>
        </w:rPr>
      </w:pPr>
    </w:p>
    <w:p w14:paraId="0F0CDDDF"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4 – eindafrekening</w:t>
      </w:r>
    </w:p>
    <w:p w14:paraId="7BA86430"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Er vindt binnen een maand na de beëindigingsdatum een reguliere </w:t>
      </w:r>
      <w:hyperlink r:id="rId13" w:tgtFrame="_blank" w:tooltip="de eindafrekening na een vaststellingsovereenkomst" w:history="1">
        <w:r w:rsidRPr="00690229">
          <w:rPr>
            <w:rFonts w:ascii="Tahoma" w:eastAsia="Times New Roman" w:hAnsi="Tahoma" w:cs="Tahoma"/>
            <w:lang w:eastAsia="nl-NL"/>
          </w:rPr>
          <w:t>eindafrekening</w:t>
        </w:r>
      </w:hyperlink>
      <w:r w:rsidRPr="00690229">
        <w:rPr>
          <w:rFonts w:ascii="Tahoma" w:eastAsia="Times New Roman" w:hAnsi="Tahoma" w:cs="Tahoma"/>
          <w:lang w:eastAsia="nl-NL"/>
        </w:rPr>
        <w:t> plaats, met uitkering van vakantiegeld en eindejaarsuitkering naar rato, alsmede het per 1 april 2020 </w:t>
      </w:r>
      <w:hyperlink r:id="rId14" w:tgtFrame="_blank" w:tooltip="verlofuren na een vaststellingsovereenkomst" w:history="1">
        <w:r w:rsidRPr="00690229">
          <w:rPr>
            <w:rFonts w:ascii="Tahoma" w:eastAsia="Times New Roman" w:hAnsi="Tahoma" w:cs="Tahoma"/>
            <w:lang w:eastAsia="nl-NL"/>
          </w:rPr>
          <w:t>openstaande saldo vakantie en verlofuren</w:t>
        </w:r>
      </w:hyperlink>
      <w:r w:rsidRPr="00690229">
        <w:rPr>
          <w:rFonts w:ascii="Tahoma" w:eastAsia="Times New Roman" w:hAnsi="Tahoma" w:cs="Tahoma"/>
          <w:lang w:eastAsia="nl-NL"/>
        </w:rPr>
        <w:t>. Over de periode van vrijstelling, van 1 april 2020 tot de beëindigingsdatum, wordt er geacht evenwel verlof opgebouwd als afgebouwd te zijn zodat het verlofsaldo na 1 april 2020 niet meer wijzigt.</w:t>
      </w:r>
    </w:p>
    <w:p w14:paraId="06187DC7" w14:textId="77777777" w:rsidR="00690229" w:rsidRPr="00690229" w:rsidRDefault="00690229" w:rsidP="00690229">
      <w:pPr>
        <w:spacing w:after="120" w:line="240" w:lineRule="auto"/>
        <w:rPr>
          <w:rFonts w:ascii="Tahoma" w:eastAsia="Times New Roman" w:hAnsi="Tahoma" w:cs="Tahoma"/>
          <w:lang w:eastAsia="nl-NL"/>
        </w:rPr>
      </w:pPr>
    </w:p>
    <w:p w14:paraId="749DE3FA"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5 – bedrijfseigendommen</w:t>
      </w:r>
    </w:p>
    <w:p w14:paraId="683FDFDC"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De Groot zal eventuele nog in zijn bezit zijnde bedrijfseigendommen uiterlijk één dag voor de beëindigingsdatum in goede staat bij werkgever (doen) inleveren tegen deugdelijk bewijs van ontvangst.</w:t>
      </w:r>
    </w:p>
    <w:p w14:paraId="757BE671" w14:textId="77777777" w:rsidR="00690229" w:rsidRPr="00690229" w:rsidRDefault="00690229" w:rsidP="00690229">
      <w:pPr>
        <w:spacing w:after="120" w:line="240" w:lineRule="auto"/>
        <w:rPr>
          <w:rFonts w:ascii="Tahoma" w:eastAsia="Times New Roman" w:hAnsi="Tahoma" w:cs="Tahoma"/>
          <w:lang w:eastAsia="nl-NL"/>
        </w:rPr>
      </w:pPr>
    </w:p>
    <w:p w14:paraId="2D446FFE"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6 – beëindigingsvergoeding</w:t>
      </w:r>
    </w:p>
    <w:p w14:paraId="35892F54" w14:textId="77777777" w:rsidR="00690229" w:rsidRPr="00690229" w:rsidRDefault="00690229" w:rsidP="00690229">
      <w:pPr>
        <w:spacing w:after="120" w:line="240" w:lineRule="auto"/>
        <w:rPr>
          <w:rFonts w:ascii="Tahoma" w:eastAsia="Times New Roman" w:hAnsi="Tahoma" w:cs="Tahoma"/>
          <w:lang w:eastAsia="nl-NL"/>
        </w:rPr>
      </w:pP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zal aan De Groot in het kader van de beëindiging van de arbeidsovereenkomst binnen een maand vanaf de beëindigingsdatum de </w:t>
      </w:r>
      <w:hyperlink r:id="rId15" w:tgtFrame="_blank" w:tooltip="de ontslagvergoeding in een vaststellingsovereenkomst" w:history="1">
        <w:r w:rsidRPr="00690229">
          <w:rPr>
            <w:rFonts w:ascii="Tahoma" w:eastAsia="Times New Roman" w:hAnsi="Tahoma" w:cs="Tahoma"/>
            <w:lang w:eastAsia="nl-NL"/>
          </w:rPr>
          <w:t>transitievergoeding</w:t>
        </w:r>
      </w:hyperlink>
      <w:r w:rsidRPr="00690229">
        <w:rPr>
          <w:rFonts w:ascii="Tahoma" w:eastAsia="Times New Roman" w:hAnsi="Tahoma" w:cs="Tahoma"/>
          <w:lang w:eastAsia="nl-NL"/>
        </w:rPr>
        <w:t> ex artikel 7:673 BW voldoen. Er zullen geen kosten ingehouden worden of verminderingen toegepast worden ten aanzien van deze vergoeding, waaronder tevens begrepen ter zake eventuele kosten in het kader van artikel 7:673 lid 6 BW.</w:t>
      </w:r>
    </w:p>
    <w:p w14:paraId="6AE96B00" w14:textId="77777777" w:rsidR="00690229" w:rsidRPr="00690229" w:rsidRDefault="00690229" w:rsidP="00690229">
      <w:pPr>
        <w:spacing w:after="120" w:line="240" w:lineRule="auto"/>
        <w:rPr>
          <w:rFonts w:ascii="Tahoma" w:eastAsia="Times New Roman" w:hAnsi="Tahoma" w:cs="Tahoma"/>
          <w:lang w:eastAsia="nl-NL"/>
        </w:rPr>
      </w:pPr>
    </w:p>
    <w:p w14:paraId="17BAD5C4"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7 – tekenstimulans/ afkoopsom</w:t>
      </w:r>
    </w:p>
    <w:p w14:paraId="75A76FEE" w14:textId="77777777" w:rsidR="00690229" w:rsidRPr="00690229" w:rsidRDefault="00690229" w:rsidP="00690229">
      <w:pPr>
        <w:spacing w:after="120" w:line="240" w:lineRule="auto"/>
        <w:rPr>
          <w:rFonts w:ascii="Tahoma" w:eastAsia="Times New Roman" w:hAnsi="Tahoma" w:cs="Tahoma"/>
          <w:lang w:eastAsia="nl-NL"/>
        </w:rPr>
      </w:pP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zal aan De Groot in het kader van de beëindiging van de arbeidsovereenkomst binnen een maand vanaf de beëindigingsdatum, onverminderd de vergoeding op grond van artikel 6 van deze overeenkomst, een </w:t>
      </w:r>
      <w:hyperlink r:id="rId16" w:tgtFrame="_blank" w:tooltip="de ontslagvergoeding in een vaststellingsovereenkomst" w:history="1">
        <w:r w:rsidRPr="00690229">
          <w:rPr>
            <w:rFonts w:ascii="Tahoma" w:eastAsia="Times New Roman" w:hAnsi="Tahoma" w:cs="Tahoma"/>
            <w:lang w:eastAsia="nl-NL"/>
          </w:rPr>
          <w:t>aanvullende bruto beëindigingsvergoeding</w:t>
        </w:r>
      </w:hyperlink>
      <w:r w:rsidRPr="00690229">
        <w:rPr>
          <w:rFonts w:ascii="Tahoma" w:eastAsia="Times New Roman" w:hAnsi="Tahoma" w:cs="Tahoma"/>
          <w:lang w:eastAsia="nl-NL"/>
        </w:rPr>
        <w:t xml:space="preserve"> voldoen ten bedrage van € 10.000,- (zegge: tienduizend euro), voor zover deze vaststellingsovereenkomst uiterlijk 15 februari 2020 door De Groot ondertekend is en aan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is verschaft.</w:t>
      </w:r>
    </w:p>
    <w:p w14:paraId="337DF25A" w14:textId="77777777" w:rsidR="00690229" w:rsidRPr="00690229" w:rsidRDefault="00690229" w:rsidP="00690229">
      <w:pPr>
        <w:spacing w:after="120" w:line="240" w:lineRule="auto"/>
        <w:rPr>
          <w:rFonts w:ascii="Tahoma" w:eastAsia="Times New Roman" w:hAnsi="Tahoma" w:cs="Tahoma"/>
          <w:lang w:eastAsia="nl-NL"/>
        </w:rPr>
      </w:pPr>
    </w:p>
    <w:p w14:paraId="01C727F6"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8 – vergoeding van kosten voor rechtsbijstand</w:t>
      </w:r>
    </w:p>
    <w:p w14:paraId="5054C3DC" w14:textId="77777777" w:rsidR="00690229" w:rsidRPr="00690229" w:rsidRDefault="00690229" w:rsidP="00690229">
      <w:pPr>
        <w:spacing w:after="120" w:line="240" w:lineRule="auto"/>
        <w:rPr>
          <w:rFonts w:ascii="Tahoma" w:eastAsia="Times New Roman" w:hAnsi="Tahoma" w:cs="Tahoma"/>
          <w:lang w:eastAsia="nl-NL"/>
        </w:rPr>
      </w:pP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zal een bijdrage in de kosten van De Groot voor arbeidsrechtelijke </w:t>
      </w:r>
      <w:hyperlink r:id="rId17" w:tgtFrame="_blank" w:tooltip="juridisch advies over een vaststellingsovereenkomst" w:history="1">
        <w:r w:rsidRPr="00690229">
          <w:rPr>
            <w:rFonts w:ascii="Tahoma" w:eastAsia="Times New Roman" w:hAnsi="Tahoma" w:cs="Tahoma"/>
            <w:lang w:eastAsia="nl-NL"/>
          </w:rPr>
          <w:t>juridische ondersteuning</w:t>
        </w:r>
      </w:hyperlink>
      <w:r w:rsidRPr="00690229">
        <w:rPr>
          <w:rFonts w:ascii="Tahoma" w:eastAsia="Times New Roman" w:hAnsi="Tahoma" w:cs="Tahoma"/>
          <w:lang w:eastAsia="nl-NL"/>
        </w:rPr>
        <w:t xml:space="preserve"> in het kader van de beëindiging van zijn arbeidsovereenkomst voldoen tot een bedrag van maximaal € 950,- (zegge negenhonderdvijftig euro) exclusief btw, inclusief btw of andere toeslagen, voor zover de factuur rechtstreeks en op haar naam gesteld door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ontvangen wordt. Op de nota wordt aangegeven dat de werkzaamheden ten behoeve van de werknemer zijn verricht.</w:t>
      </w:r>
    </w:p>
    <w:p w14:paraId="5EEAB14E" w14:textId="77777777" w:rsidR="00690229" w:rsidRPr="00690229" w:rsidRDefault="00690229" w:rsidP="00690229">
      <w:pPr>
        <w:spacing w:after="120" w:line="240" w:lineRule="auto"/>
        <w:rPr>
          <w:rFonts w:ascii="Tahoma" w:eastAsia="Times New Roman" w:hAnsi="Tahoma" w:cs="Tahoma"/>
          <w:lang w:eastAsia="nl-NL"/>
        </w:rPr>
      </w:pPr>
    </w:p>
    <w:p w14:paraId="6CA0DAC5"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lastRenderedPageBreak/>
        <w:t>Artikel 9 – geheimhouding en berichten naar derden</w:t>
      </w:r>
    </w:p>
    <w:p w14:paraId="71F5A4CF"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1. Partijen doen geen mededelingen aan derden over de inhoud van deze overeenkomst en de achtergronden die aanleiding hebben gegeven tot het sluiten van deze overeenkomst, behoudens informatie die verplicht wettelijk moet worden verstrekt. Het staat De Groot wel vrij een afschrift van deze overeenkomst aan UWV te verschaffen in het kader van een eventuele uitkeringsaanvraag. Hiervan wordt alleen afgeweken indien en voor zover dit gebeurt na wederzijdse schriftelijke instemming.</w:t>
      </w:r>
    </w:p>
    <w:p w14:paraId="77C0931B" w14:textId="77777777" w:rsidR="00690229" w:rsidRPr="00690229" w:rsidRDefault="00690229" w:rsidP="00690229">
      <w:pPr>
        <w:spacing w:after="120" w:line="240" w:lineRule="auto"/>
        <w:rPr>
          <w:rFonts w:ascii="Tahoma" w:eastAsia="Times New Roman" w:hAnsi="Tahoma" w:cs="Tahoma"/>
          <w:lang w:eastAsia="nl-NL"/>
        </w:rPr>
      </w:pPr>
    </w:p>
    <w:p w14:paraId="31D86108"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xml:space="preserve">2. De Groot betracht geheimhouding omtrent vertrouwelijke informatie die hem in verband met de arbeidsovereenkomst bekend is geworden voor zover hij redelijkerwijze begrijpt of kan begrijpen dat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gebaat is bij geheimhouding. De geheimhoudingsregeling van artikel 7.2 arbeidsovereenkomst blijft onverminderd van kracht.</w:t>
      </w:r>
    </w:p>
    <w:p w14:paraId="550F2AE0" w14:textId="77777777" w:rsidR="00690229" w:rsidRPr="00690229" w:rsidRDefault="00690229" w:rsidP="00690229">
      <w:pPr>
        <w:spacing w:after="120" w:line="240" w:lineRule="auto"/>
        <w:rPr>
          <w:rFonts w:ascii="Tahoma" w:eastAsia="Times New Roman" w:hAnsi="Tahoma" w:cs="Tahoma"/>
          <w:lang w:eastAsia="nl-NL"/>
        </w:rPr>
      </w:pPr>
    </w:p>
    <w:p w14:paraId="41ECAB57"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3. Partijen ondernemen geen activiteiten waarbij zij elkaar in diskrediet zouden kunnen brengen dan wel waarbij zij de wederzijdse belangen zouden kunnen schaden. Naar derden laten partijen zich niet negatief over elkaar uit.</w:t>
      </w:r>
    </w:p>
    <w:p w14:paraId="2F760BE3" w14:textId="77777777" w:rsidR="00690229" w:rsidRPr="00690229" w:rsidRDefault="00690229" w:rsidP="00690229">
      <w:pPr>
        <w:spacing w:after="120" w:line="240" w:lineRule="auto"/>
        <w:rPr>
          <w:rFonts w:ascii="Tahoma" w:eastAsia="Times New Roman" w:hAnsi="Tahoma" w:cs="Tahoma"/>
          <w:lang w:eastAsia="nl-NL"/>
        </w:rPr>
      </w:pPr>
    </w:p>
    <w:p w14:paraId="5EB2D0CA"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10 – getuigschrift</w:t>
      </w:r>
    </w:p>
    <w:p w14:paraId="0D00C09C"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 xml:space="preserve">De Groot ontvangt van </w:t>
      </w: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een positief luidend getuigschrift waarin aangegeven wordt dat hij zich positief en vakbekwaam voor de organisatie heeft ingezet. Mevrouw A. van den Ende is bereid als positieve referentie op te treden en zal in voorkomend geval in lijn met het getuigschrift verklaren.</w:t>
      </w:r>
    </w:p>
    <w:p w14:paraId="70E9D15F" w14:textId="77777777" w:rsidR="00690229" w:rsidRPr="00690229" w:rsidRDefault="00690229" w:rsidP="00690229">
      <w:pPr>
        <w:spacing w:after="120" w:line="240" w:lineRule="auto"/>
        <w:rPr>
          <w:rFonts w:ascii="Tahoma" w:eastAsia="Times New Roman" w:hAnsi="Tahoma" w:cs="Tahoma"/>
          <w:lang w:eastAsia="nl-NL"/>
        </w:rPr>
      </w:pPr>
    </w:p>
    <w:p w14:paraId="55122C43"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11 – concurrentie-, relatie- en nevenwerkzaamhedenbeding</w:t>
      </w:r>
    </w:p>
    <w:p w14:paraId="3538DED5"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De Groot wordt </w:t>
      </w:r>
      <w:hyperlink r:id="rId18" w:tgtFrame="_blank" w:tooltip="vaststellingsovereenkomst en concurrentiebeding" w:history="1">
        <w:r w:rsidRPr="00690229">
          <w:rPr>
            <w:rFonts w:ascii="Tahoma" w:eastAsia="Times New Roman" w:hAnsi="Tahoma" w:cs="Tahoma"/>
            <w:lang w:eastAsia="nl-NL"/>
          </w:rPr>
          <w:t>ontheven uit het concurrentiebeding</w:t>
        </w:r>
      </w:hyperlink>
      <w:r w:rsidRPr="00690229">
        <w:rPr>
          <w:rFonts w:ascii="Tahoma" w:eastAsia="Times New Roman" w:hAnsi="Tahoma" w:cs="Tahoma"/>
          <w:lang w:eastAsia="nl-NL"/>
        </w:rPr>
        <w:t> van artikel 9.1 arbeidsovereenkomst, het relatiebeding van artikel 9.2 arbeidsovereenkomst en het nevenwerkzaamhedenbeding van artikel 9.3 arbeidsovereenkomst. Het non-wervingsbeding van artikel 9.4 en het geheimhoudingsbeding van artikel 9.5 arbeidsovereenkomst blijven onverminderd van kracht.</w:t>
      </w:r>
    </w:p>
    <w:p w14:paraId="61C958B5" w14:textId="77777777" w:rsidR="00690229" w:rsidRPr="00690229" w:rsidRDefault="00690229" w:rsidP="00690229">
      <w:pPr>
        <w:spacing w:after="120" w:line="240" w:lineRule="auto"/>
        <w:rPr>
          <w:rFonts w:ascii="Tahoma" w:eastAsia="Times New Roman" w:hAnsi="Tahoma" w:cs="Tahoma"/>
          <w:lang w:eastAsia="nl-NL"/>
        </w:rPr>
      </w:pPr>
    </w:p>
    <w:p w14:paraId="045D14F7"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12 – bedenktermijn</w:t>
      </w:r>
    </w:p>
    <w:p w14:paraId="01F9E8DA" w14:textId="77777777" w:rsidR="00690229" w:rsidRPr="00690229" w:rsidRDefault="00690229" w:rsidP="00690229">
      <w:pPr>
        <w:spacing w:after="120" w:line="240" w:lineRule="auto"/>
        <w:rPr>
          <w:rFonts w:ascii="Tahoma" w:eastAsia="Times New Roman" w:hAnsi="Tahoma" w:cs="Tahoma"/>
          <w:lang w:eastAsia="nl-NL"/>
        </w:rPr>
      </w:pP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wijst De Groot op de wettelijke </w:t>
      </w:r>
      <w:hyperlink r:id="rId19" w:tgtFrame="_blank" w:tooltip="bedenktermijn bij een vaststellingsovereenkomst" w:history="1">
        <w:r w:rsidRPr="00690229">
          <w:rPr>
            <w:rFonts w:ascii="Tahoma" w:eastAsia="Times New Roman" w:hAnsi="Tahoma" w:cs="Tahoma"/>
            <w:lang w:eastAsia="nl-NL"/>
          </w:rPr>
          <w:t>bedenktermijn</w:t>
        </w:r>
      </w:hyperlink>
      <w:r w:rsidRPr="00690229">
        <w:rPr>
          <w:rFonts w:ascii="Tahoma" w:eastAsia="Times New Roman" w:hAnsi="Tahoma" w:cs="Tahoma"/>
          <w:lang w:eastAsia="nl-NL"/>
        </w:rPr>
        <w:t> die hem het recht geeft om deze overeenkomst zonder opgaaf van redenen, binnen veertien dagen na de datum waarop de overeenkomst tot stand is gekomen, door een schriftelijke, aan de werkgever gerichte, verklaring te ontbinden. Hierdoor heeft De Groot de mogelijkheid om binnen die termijn zijn beslissing om met deze overeenkomst in te stemmen te herroepen. Wanneer De Groot van dit recht gebruik wil maken, dan kan dit door tijdig een e-mail van deze strekking te sturen aan mevrouw A. van den Ende op ...@...</w:t>
      </w:r>
    </w:p>
    <w:p w14:paraId="6B66B19C" w14:textId="77777777" w:rsidR="00690229" w:rsidRDefault="00690229" w:rsidP="00690229">
      <w:pPr>
        <w:spacing w:after="120" w:line="240" w:lineRule="auto"/>
        <w:rPr>
          <w:rFonts w:ascii="Tahoma" w:eastAsia="Times New Roman" w:hAnsi="Tahoma" w:cs="Tahoma"/>
          <w:lang w:eastAsia="nl-NL"/>
        </w:rPr>
      </w:pPr>
    </w:p>
    <w:p w14:paraId="5DB89347" w14:textId="77777777" w:rsidR="00690229" w:rsidRDefault="00690229" w:rsidP="00690229">
      <w:pPr>
        <w:spacing w:after="120" w:line="240" w:lineRule="auto"/>
        <w:rPr>
          <w:rFonts w:ascii="Tahoma" w:eastAsia="Times New Roman" w:hAnsi="Tahoma" w:cs="Tahoma"/>
          <w:lang w:eastAsia="nl-NL"/>
        </w:rPr>
      </w:pPr>
    </w:p>
    <w:p w14:paraId="0CF6E10A" w14:textId="77777777" w:rsidR="00690229" w:rsidRPr="00690229" w:rsidRDefault="00690229" w:rsidP="00690229">
      <w:pPr>
        <w:spacing w:after="120" w:line="240" w:lineRule="auto"/>
        <w:rPr>
          <w:rFonts w:ascii="Tahoma" w:eastAsia="Times New Roman" w:hAnsi="Tahoma" w:cs="Tahoma"/>
          <w:lang w:eastAsia="nl-NL"/>
        </w:rPr>
      </w:pPr>
      <w:bookmarkStart w:id="0" w:name="_GoBack"/>
      <w:bookmarkEnd w:id="0"/>
    </w:p>
    <w:p w14:paraId="7623F2BA"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lastRenderedPageBreak/>
        <w:t>Artikel 13 – ontbinding</w:t>
      </w:r>
    </w:p>
    <w:p w14:paraId="5C23CF51"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Partijen doen, met uitzondering van ontbinding door werknemer gedurende de bedenktermijn op grond van artikel 12 van deze overeenkomst, voor zover zulks rechtens geoorloofd is over en weer afstand van het recht deze vaststellingsovereenkomst gerechtelijk of buitengerechtelijk te vernietigen of ontbinden.</w:t>
      </w:r>
    </w:p>
    <w:p w14:paraId="64D5391B" w14:textId="77777777" w:rsidR="00690229" w:rsidRPr="00690229" w:rsidRDefault="00690229" w:rsidP="00690229">
      <w:pPr>
        <w:spacing w:after="120" w:line="240" w:lineRule="auto"/>
        <w:rPr>
          <w:rFonts w:ascii="Tahoma" w:eastAsia="Times New Roman" w:hAnsi="Tahoma" w:cs="Tahoma"/>
          <w:lang w:eastAsia="nl-NL"/>
        </w:rPr>
      </w:pPr>
    </w:p>
    <w:p w14:paraId="62FCA31D"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Artikel 14 – kwijting</w:t>
      </w:r>
    </w:p>
    <w:p w14:paraId="110A755E"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Partijen verlenen elkaar, met uitzondering van de verplichtingen die in deze overeenkomst zijn genoemd, </w:t>
      </w:r>
      <w:hyperlink r:id="rId20" w:tgtFrame="_blank" w:tooltip="Finale kwijting na een vaststellingsovereenkomst" w:history="1">
        <w:r w:rsidRPr="00690229">
          <w:rPr>
            <w:rFonts w:ascii="Tahoma" w:eastAsia="Times New Roman" w:hAnsi="Tahoma" w:cs="Tahoma"/>
            <w:lang w:eastAsia="nl-NL"/>
          </w:rPr>
          <w:t>finale kwijting</w:t>
        </w:r>
      </w:hyperlink>
      <w:r w:rsidRPr="00690229">
        <w:rPr>
          <w:rFonts w:ascii="Tahoma" w:eastAsia="Times New Roman" w:hAnsi="Tahoma" w:cs="Tahoma"/>
          <w:lang w:eastAsia="nl-NL"/>
        </w:rPr>
        <w:t> en bevestigen daarmee dat na vervulling van de in deze overeenkomst genoemde verplichtingen geen verdere aanspraken voortvloeiend uit de arbeidsovereenkomst, de beëindiging daarvan of anderszins bestaan.</w:t>
      </w:r>
    </w:p>
    <w:p w14:paraId="594544DA" w14:textId="77777777" w:rsidR="00690229" w:rsidRPr="00690229" w:rsidRDefault="00690229" w:rsidP="00690229">
      <w:pPr>
        <w:spacing w:after="120" w:line="240" w:lineRule="auto"/>
        <w:rPr>
          <w:rFonts w:ascii="Tahoma" w:eastAsia="Times New Roman" w:hAnsi="Tahoma" w:cs="Tahoma"/>
          <w:lang w:eastAsia="nl-NL"/>
        </w:rPr>
      </w:pPr>
    </w:p>
    <w:p w14:paraId="516F57C1" w14:textId="77777777" w:rsidR="00690229" w:rsidRPr="00690229" w:rsidRDefault="00690229" w:rsidP="00690229">
      <w:pPr>
        <w:spacing w:before="225" w:after="100" w:afterAutospacing="1" w:line="240" w:lineRule="auto"/>
        <w:outlineLvl w:val="3"/>
        <w:rPr>
          <w:rFonts w:ascii="Tahoma" w:eastAsia="Times New Roman" w:hAnsi="Tahoma" w:cs="Tahoma"/>
          <w:b/>
          <w:bCs/>
          <w:lang w:eastAsia="nl-NL"/>
        </w:rPr>
      </w:pPr>
      <w:r w:rsidRPr="00690229">
        <w:rPr>
          <w:rFonts w:ascii="Tahoma" w:eastAsia="Times New Roman" w:hAnsi="Tahoma" w:cs="Tahoma"/>
          <w:b/>
          <w:bCs/>
          <w:lang w:eastAsia="nl-NL"/>
        </w:rPr>
        <w:t>Aldus overeengekomen op 15 februari 2020, opgemaakt in tweevoud en ondertekend:</w:t>
      </w:r>
    </w:p>
    <w:p w14:paraId="37866AEB" w14:textId="77777777" w:rsidR="00690229" w:rsidRPr="00690229" w:rsidRDefault="00690229" w:rsidP="00690229">
      <w:pPr>
        <w:spacing w:after="120" w:line="240" w:lineRule="auto"/>
        <w:rPr>
          <w:rFonts w:ascii="Tahoma" w:eastAsia="Times New Roman" w:hAnsi="Tahoma" w:cs="Tahoma"/>
          <w:lang w:eastAsia="nl-NL"/>
        </w:rPr>
      </w:pPr>
    </w:p>
    <w:p w14:paraId="3AC0911D" w14:textId="77777777" w:rsidR="00690229" w:rsidRPr="00690229" w:rsidRDefault="00690229" w:rsidP="00690229">
      <w:pPr>
        <w:spacing w:after="120" w:line="240" w:lineRule="auto"/>
        <w:rPr>
          <w:rFonts w:ascii="Tahoma" w:eastAsia="Times New Roman" w:hAnsi="Tahoma" w:cs="Tahoma"/>
          <w:lang w:eastAsia="nl-NL"/>
        </w:rPr>
      </w:pPr>
      <w:proofErr w:type="spellStart"/>
      <w:r w:rsidRPr="00690229">
        <w:rPr>
          <w:rFonts w:ascii="Tahoma" w:eastAsia="Times New Roman" w:hAnsi="Tahoma" w:cs="Tahoma"/>
          <w:lang w:eastAsia="nl-NL"/>
        </w:rPr>
        <w:t>Finito</w:t>
      </w:r>
      <w:proofErr w:type="spellEnd"/>
      <w:r w:rsidRPr="00690229">
        <w:rPr>
          <w:rFonts w:ascii="Tahoma" w:eastAsia="Times New Roman" w:hAnsi="Tahoma" w:cs="Tahoma"/>
          <w:lang w:eastAsia="nl-NL"/>
        </w:rPr>
        <w:t xml:space="preserve"> B.V., werkgever</w:t>
      </w:r>
    </w:p>
    <w:p w14:paraId="088BD3EA"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Voor deze: mevrouw A. van den Ende (directeur)</w:t>
      </w:r>
    </w:p>
    <w:p w14:paraId="774D6B55"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Datum: ………………</w:t>
      </w:r>
    </w:p>
    <w:p w14:paraId="701B85FA"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Plaats: ………………</w:t>
      </w:r>
    </w:p>
    <w:p w14:paraId="6AEFA973" w14:textId="77777777" w:rsidR="00690229" w:rsidRPr="00690229" w:rsidRDefault="00690229" w:rsidP="00690229">
      <w:pPr>
        <w:spacing w:after="120" w:line="240" w:lineRule="auto"/>
        <w:rPr>
          <w:rFonts w:ascii="Tahoma" w:eastAsia="Times New Roman" w:hAnsi="Tahoma" w:cs="Tahoma"/>
          <w:lang w:eastAsia="nl-NL"/>
        </w:rPr>
      </w:pPr>
    </w:p>
    <w:p w14:paraId="074494B2"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De heer J.P. de Groot, werknemer</w:t>
      </w:r>
    </w:p>
    <w:p w14:paraId="6D092423"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Datum: ………………</w:t>
      </w:r>
    </w:p>
    <w:p w14:paraId="12BC4AC1" w14:textId="77777777" w:rsidR="00690229" w:rsidRPr="00690229" w:rsidRDefault="00690229" w:rsidP="00690229">
      <w:pPr>
        <w:spacing w:after="120" w:line="240" w:lineRule="auto"/>
        <w:rPr>
          <w:rFonts w:ascii="Tahoma" w:eastAsia="Times New Roman" w:hAnsi="Tahoma" w:cs="Tahoma"/>
          <w:lang w:eastAsia="nl-NL"/>
        </w:rPr>
      </w:pPr>
      <w:r w:rsidRPr="00690229">
        <w:rPr>
          <w:rFonts w:ascii="Tahoma" w:eastAsia="Times New Roman" w:hAnsi="Tahoma" w:cs="Tahoma"/>
          <w:lang w:eastAsia="nl-NL"/>
        </w:rPr>
        <w:t>Plaats: ………………</w:t>
      </w:r>
    </w:p>
    <w:p w14:paraId="5C8C814A" w14:textId="77777777" w:rsidR="006B37E8" w:rsidRPr="00690229" w:rsidRDefault="00690229">
      <w:pPr>
        <w:rPr>
          <w:rFonts w:ascii="Tahoma" w:hAnsi="Tahoma" w:cs="Tahoma"/>
        </w:rPr>
      </w:pPr>
    </w:p>
    <w:sectPr w:rsidR="006B37E8" w:rsidRPr="00690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29"/>
    <w:rsid w:val="002F17EB"/>
    <w:rsid w:val="00583783"/>
    <w:rsid w:val="00690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CB92"/>
  <w15:chartTrackingRefBased/>
  <w15:docId w15:val="{E17E2DC3-8D2B-4623-8653-051D1D36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69022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9022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90229"/>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90229"/>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902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90229"/>
    <w:rPr>
      <w:i/>
      <w:iCs/>
    </w:rPr>
  </w:style>
  <w:style w:type="character" w:styleId="Hyperlink">
    <w:name w:val="Hyperlink"/>
    <w:basedOn w:val="Standaardalinea-lettertype"/>
    <w:uiPriority w:val="99"/>
    <w:semiHidden/>
    <w:unhideWhenUsed/>
    <w:rsid w:val="00690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tstellingsovereenkomst.info/vaststellingsovereenkomst-juridisch-advies/" TargetMode="External"/><Relationship Id="rId13" Type="http://schemas.openxmlformats.org/officeDocument/2006/relationships/hyperlink" Target="https://vaststellingsovereenkomst.info/vaststellingsovereenkomst-eindafrekening/" TargetMode="External"/><Relationship Id="rId18" Type="http://schemas.openxmlformats.org/officeDocument/2006/relationships/hyperlink" Target="https://vaststellingsovereenkomst.info/vaststellingsovereenkomst-concurrentiebed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aststellingsovereenkomst.info/vaststellingsovereenkomst-bij-ziekte/" TargetMode="External"/><Relationship Id="rId12" Type="http://schemas.openxmlformats.org/officeDocument/2006/relationships/hyperlink" Target="https://vaststellingsovereenkomst.info/vaststellingsovereenkomst-vrijstelling-van-werk/" TargetMode="External"/><Relationship Id="rId17" Type="http://schemas.openxmlformats.org/officeDocument/2006/relationships/hyperlink" Target="https://vaststellingsovereenkomst.info/vaststellingsovereenkomst-juridisch-advies/" TargetMode="External"/><Relationship Id="rId2" Type="http://schemas.openxmlformats.org/officeDocument/2006/relationships/settings" Target="settings.xml"/><Relationship Id="rId16" Type="http://schemas.openxmlformats.org/officeDocument/2006/relationships/hyperlink" Target="https://vaststellingsovereenkomst.info/vaststellingsovereenkomst-ontslagvergoeding/" TargetMode="External"/><Relationship Id="rId20" Type="http://schemas.openxmlformats.org/officeDocument/2006/relationships/hyperlink" Target="https://vaststellingsovereenkomst.info/vaststellingsovereenkomst-finale-kwijting/" TargetMode="External"/><Relationship Id="rId1" Type="http://schemas.openxmlformats.org/officeDocument/2006/relationships/styles" Target="styles.xml"/><Relationship Id="rId6" Type="http://schemas.openxmlformats.org/officeDocument/2006/relationships/hyperlink" Target="https://vaststellingsovereenkomst.info/ontslag-kennisbank/op-staande-voet-ontslagen/dringende-reden-voor-ontslag-op-staande-voet/" TargetMode="External"/><Relationship Id="rId11" Type="http://schemas.openxmlformats.org/officeDocument/2006/relationships/hyperlink" Target="https://vaststellingsovereenkomst.info/vaststellingsovereenkomst-ww-uitkering/" TargetMode="External"/><Relationship Id="rId5" Type="http://schemas.openxmlformats.org/officeDocument/2006/relationships/hyperlink" Target="https://vaststellingsovereenkomst.info/ontslag-kennisbank/ontslagredenen/ontslag-wegens-verschil-inzicht/" TargetMode="External"/><Relationship Id="rId15" Type="http://schemas.openxmlformats.org/officeDocument/2006/relationships/hyperlink" Target="https://vaststellingsovereenkomst.info/vaststellingsovereenkomst-ontslagvergoeding/" TargetMode="External"/><Relationship Id="rId10" Type="http://schemas.openxmlformats.org/officeDocument/2006/relationships/hyperlink" Target="https://vaststellingsovereenkomst.info/vaststellingsovereenkomst-opzegtermijn/" TargetMode="External"/><Relationship Id="rId19" Type="http://schemas.openxmlformats.org/officeDocument/2006/relationships/hyperlink" Target="https://vaststellingsovereenkomst.info/vaststellingsovereenkomst-bedenktijd/" TargetMode="External"/><Relationship Id="rId4" Type="http://schemas.openxmlformats.org/officeDocument/2006/relationships/hyperlink" Target="https://vaststellingsovereenkomst.info/ontslag-kennisbank/ontslagredenen/ontslag-wegens-bedrijfseconomische-redenen/" TargetMode="External"/><Relationship Id="rId9" Type="http://schemas.openxmlformats.org/officeDocument/2006/relationships/hyperlink" Target="https://vaststellingsovereenkomst.info/ontslag-kennisbank/beeindiging-wederzijds-goedvinden/" TargetMode="External"/><Relationship Id="rId14" Type="http://schemas.openxmlformats.org/officeDocument/2006/relationships/hyperlink" Target="https://vaststellingsovereenkomst.info/vaststellingsovereenkomst-vakantiedag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2048</Words>
  <Characters>11266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 Graauw</dc:creator>
  <cp:keywords/>
  <dc:description/>
  <cp:lastModifiedBy>Roland de Graauw</cp:lastModifiedBy>
  <cp:revision>1</cp:revision>
  <dcterms:created xsi:type="dcterms:W3CDTF">2020-01-14T13:26:00Z</dcterms:created>
  <dcterms:modified xsi:type="dcterms:W3CDTF">2020-01-14T13:31:00Z</dcterms:modified>
</cp:coreProperties>
</file>